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30" w:rsidRPr="00865530" w:rsidRDefault="00865530" w:rsidP="00865530">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r w:rsidRPr="00865530">
        <w:rPr>
          <w:rFonts w:ascii="Times New Roman" w:eastAsia="Times New Roman" w:hAnsi="Times New Roman" w:cs="Times New Roman"/>
          <w:b/>
          <w:bCs/>
          <w:kern w:val="36"/>
          <w:sz w:val="48"/>
          <w:szCs w:val="48"/>
        </w:rPr>
        <w:t>5 Megatrends That Will Shift the Data and Analytics Market</w:t>
      </w:r>
    </w:p>
    <w:bookmarkEnd w:id="0"/>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Over the past year, as I interacted with enterprise customers of all sizes, I have seen five unmistakable megatrends shifting the data and analytics market. We have confirmed these trends by examining the perspectives of investors, research firms, and industry practitioners.</w:t>
      </w:r>
    </w:p>
    <w:p w:rsidR="00865530" w:rsidRPr="00865530" w:rsidRDefault="00865530" w:rsidP="008655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530">
        <w:rPr>
          <w:rFonts w:ascii="Times New Roman" w:eastAsia="Times New Roman" w:hAnsi="Times New Roman" w:cs="Times New Roman"/>
          <w:b/>
          <w:bCs/>
          <w:kern w:val="36"/>
          <w:sz w:val="48"/>
          <w:szCs w:val="48"/>
        </w:rPr>
        <w:t>Trend 1: From Data Center/Cloud to Distributed Cloud</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The shift from data center deployments to the cloud continues apace.</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“New data from </w:t>
      </w:r>
      <w:hyperlink r:id="rId6" w:tgtFrame="_blank" w:history="1">
        <w:r w:rsidRPr="00865530">
          <w:rPr>
            <w:rFonts w:ascii="Times New Roman" w:eastAsia="Times New Roman" w:hAnsi="Times New Roman" w:cs="Times New Roman"/>
            <w:color w:val="0000FF"/>
            <w:sz w:val="24"/>
            <w:szCs w:val="24"/>
            <w:u w:val="single"/>
          </w:rPr>
          <w:t>Synergy Research Group</w:t>
        </w:r>
      </w:hyperlink>
      <w:r w:rsidRPr="00865530">
        <w:rPr>
          <w:rFonts w:ascii="Times New Roman" w:eastAsia="Times New Roman" w:hAnsi="Times New Roman" w:cs="Times New Roman"/>
          <w:sz w:val="24"/>
          <w:szCs w:val="24"/>
        </w:rPr>
        <w:t xml:space="preserve"> shows that enterprise spending on cloud infrastructure services continued to ramp up aggressively in 2020, growing by </w:t>
      </w:r>
      <w:r w:rsidRPr="00865530">
        <w:rPr>
          <w:rFonts w:ascii="Times New Roman" w:eastAsia="Times New Roman" w:hAnsi="Times New Roman" w:cs="Times New Roman"/>
          <w:b/>
          <w:bCs/>
          <w:sz w:val="24"/>
          <w:szCs w:val="24"/>
        </w:rPr>
        <w:t xml:space="preserve">35% </w:t>
      </w:r>
      <w:r w:rsidRPr="00865530">
        <w:rPr>
          <w:rFonts w:ascii="Times New Roman" w:eastAsia="Times New Roman" w:hAnsi="Times New Roman" w:cs="Times New Roman"/>
          <w:sz w:val="24"/>
          <w:szCs w:val="24"/>
        </w:rPr>
        <w:t>to reach almost $130 billion.</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In 2020 COVID-19 helped to further fuel this major shift in worldwide IT operations. Over the decade, the average annual spending growth for a data center was just 2% and for cloud services (</w:t>
      </w:r>
      <w:proofErr w:type="spellStart"/>
      <w:r w:rsidRPr="00865530">
        <w:rPr>
          <w:rFonts w:ascii="Times New Roman" w:eastAsia="Times New Roman" w:hAnsi="Times New Roman" w:cs="Times New Roman"/>
          <w:sz w:val="24"/>
          <w:szCs w:val="24"/>
        </w:rPr>
        <w:t>IaaS</w:t>
      </w:r>
      <w:proofErr w:type="spellEnd"/>
      <w:r w:rsidRPr="00865530">
        <w:rPr>
          <w:rFonts w:ascii="Times New Roman" w:eastAsia="Times New Roman" w:hAnsi="Times New Roman" w:cs="Times New Roman"/>
          <w:sz w:val="24"/>
          <w:szCs w:val="24"/>
        </w:rPr>
        <w:t xml:space="preserve">, </w:t>
      </w:r>
      <w:proofErr w:type="spellStart"/>
      <w:r w:rsidRPr="00865530">
        <w:rPr>
          <w:rFonts w:ascii="Times New Roman" w:eastAsia="Times New Roman" w:hAnsi="Times New Roman" w:cs="Times New Roman"/>
          <w:sz w:val="24"/>
          <w:szCs w:val="24"/>
        </w:rPr>
        <w:t>PaaS</w:t>
      </w:r>
      <w:proofErr w:type="spellEnd"/>
      <w:r w:rsidRPr="00865530">
        <w:rPr>
          <w:rFonts w:ascii="Times New Roman" w:eastAsia="Times New Roman" w:hAnsi="Times New Roman" w:cs="Times New Roman"/>
          <w:sz w:val="24"/>
          <w:szCs w:val="24"/>
        </w:rPr>
        <w:t xml:space="preserve"> and hosted private cloud) was 52%.”</w:t>
      </w:r>
    </w:p>
    <w:p w:rsidR="00865530" w:rsidRPr="00865530" w:rsidRDefault="00865530" w:rsidP="0086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67500" cy="4248150"/>
            <wp:effectExtent l="0" t="0" r="0" b="0"/>
            <wp:docPr id="5" name="Picture 5" descr="https://miro.medium.com/max/700/1*BvzZyD1uQRN3GfSi1XP2h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o.medium.com/max/700/1*BvzZyD1uQRN3GfSi1XP2h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248150"/>
                    </a:xfrm>
                    <a:prstGeom prst="rect">
                      <a:avLst/>
                    </a:prstGeom>
                    <a:noFill/>
                    <a:ln>
                      <a:noFill/>
                    </a:ln>
                  </pic:spPr>
                </pic:pic>
              </a:graphicData>
            </a:graphic>
          </wp:inline>
        </w:drawing>
      </w:r>
    </w:p>
    <w:p w:rsidR="00865530" w:rsidRPr="00865530" w:rsidRDefault="00865530" w:rsidP="00865530">
      <w:pPr>
        <w:spacing w:after="0" w:line="240" w:lineRule="auto"/>
        <w:rPr>
          <w:rFonts w:ascii="Times New Roman" w:eastAsia="Times New Roman" w:hAnsi="Times New Roman" w:cs="Times New Roman"/>
          <w:sz w:val="24"/>
          <w:szCs w:val="24"/>
        </w:rPr>
      </w:pPr>
      <w:proofErr w:type="gramStart"/>
      <w:r w:rsidRPr="00865530">
        <w:rPr>
          <w:rFonts w:ascii="Times New Roman" w:eastAsia="Times New Roman" w:hAnsi="Times New Roman" w:cs="Times New Roman"/>
          <w:sz w:val="24"/>
          <w:szCs w:val="24"/>
        </w:rPr>
        <w:t>Figure 1.</w:t>
      </w:r>
      <w:proofErr w:type="gramEnd"/>
      <w:r w:rsidRPr="00865530">
        <w:rPr>
          <w:rFonts w:ascii="Times New Roman" w:eastAsia="Times New Roman" w:hAnsi="Times New Roman" w:cs="Times New Roman"/>
          <w:sz w:val="24"/>
          <w:szCs w:val="24"/>
        </w:rPr>
        <w:t xml:space="preserve"> Enterprise Spending on Cloud and Data Centers</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On the other hand, the regulation of some countries demands data to reside in a physical data center. This fact has pushed the public cloud services to be available in different physical locations, resulting in various deployment models, such as private cloud, public cloud, and multi-cloud.</w:t>
      </w:r>
    </w:p>
    <w:p w:rsidR="00865530" w:rsidRPr="00865530" w:rsidRDefault="00865530" w:rsidP="008655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530">
        <w:rPr>
          <w:rFonts w:ascii="Times New Roman" w:eastAsia="Times New Roman" w:hAnsi="Times New Roman" w:cs="Times New Roman"/>
          <w:b/>
          <w:bCs/>
          <w:kern w:val="36"/>
          <w:sz w:val="48"/>
          <w:szCs w:val="48"/>
        </w:rPr>
        <w:t>Trend 2: Great Convergence of Analytics and AI/ML</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Large enterprises and tech companies </w:t>
      </w:r>
      <w:r w:rsidRPr="00865530">
        <w:rPr>
          <w:rFonts w:ascii="Times New Roman" w:eastAsia="Times New Roman" w:hAnsi="Times New Roman" w:cs="Times New Roman"/>
          <w:b/>
          <w:bCs/>
          <w:sz w:val="24"/>
          <w:szCs w:val="24"/>
        </w:rPr>
        <w:t xml:space="preserve">with sophisticated, complex data needs </w:t>
      </w:r>
      <w:r w:rsidRPr="00865530">
        <w:rPr>
          <w:rFonts w:ascii="Times New Roman" w:eastAsia="Times New Roman" w:hAnsi="Times New Roman" w:cs="Times New Roman"/>
          <w:sz w:val="24"/>
          <w:szCs w:val="24"/>
        </w:rPr>
        <w:t>usually require their data infrastructure to serve two purposes:</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1. </w:t>
      </w:r>
      <w:proofErr w:type="gramStart"/>
      <w:r w:rsidRPr="00865530">
        <w:rPr>
          <w:rFonts w:ascii="Times New Roman" w:eastAsia="Times New Roman" w:hAnsi="Times New Roman" w:cs="Times New Roman"/>
          <w:sz w:val="24"/>
          <w:szCs w:val="24"/>
        </w:rPr>
        <w:t>help</w:t>
      </w:r>
      <w:proofErr w:type="gramEnd"/>
      <w:r w:rsidRPr="00865530">
        <w:rPr>
          <w:rFonts w:ascii="Times New Roman" w:eastAsia="Times New Roman" w:hAnsi="Times New Roman" w:cs="Times New Roman"/>
          <w:sz w:val="24"/>
          <w:szCs w:val="24"/>
        </w:rPr>
        <w:t xml:space="preserve"> internal users make better decisions through the use of data;</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2. </w:t>
      </w:r>
      <w:proofErr w:type="gramStart"/>
      <w:r w:rsidRPr="00865530">
        <w:rPr>
          <w:rFonts w:ascii="Times New Roman" w:eastAsia="Times New Roman" w:hAnsi="Times New Roman" w:cs="Times New Roman"/>
          <w:sz w:val="24"/>
          <w:szCs w:val="24"/>
        </w:rPr>
        <w:t>build</w:t>
      </w:r>
      <w:proofErr w:type="gramEnd"/>
      <w:r w:rsidRPr="00865530">
        <w:rPr>
          <w:rFonts w:ascii="Times New Roman" w:eastAsia="Times New Roman" w:hAnsi="Times New Roman" w:cs="Times New Roman"/>
          <w:sz w:val="24"/>
          <w:szCs w:val="24"/>
        </w:rPr>
        <w:t xml:space="preserve"> operational AI/ML systems to support data intelligence into customer-facing applications.</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Historically, companies had data lakes on one side serving AI use cases and then data warehouses on the other side supporting transactional analytics and business intelligence. In </w:t>
      </w:r>
      <w:r w:rsidRPr="00865530">
        <w:rPr>
          <w:rFonts w:ascii="Times New Roman" w:eastAsia="Times New Roman" w:hAnsi="Times New Roman" w:cs="Times New Roman"/>
          <w:sz w:val="24"/>
          <w:szCs w:val="24"/>
        </w:rPr>
        <w:lastRenderedPageBreak/>
        <w:t xml:space="preserve">reality, many organizations suffer from the duplicated data pipelines, complex infrastructures, and high costs coming along with this kind of data stack. </w:t>
      </w:r>
      <w:r w:rsidRPr="00865530">
        <w:rPr>
          <w:rFonts w:ascii="Times New Roman" w:eastAsia="Times New Roman" w:hAnsi="Times New Roman" w:cs="Times New Roman"/>
          <w:b/>
          <w:bCs/>
          <w:sz w:val="24"/>
          <w:szCs w:val="24"/>
        </w:rPr>
        <w:t>As a result, companies are now trying to merge both sides, creating a unified experience for all types of data analytics, including BI and ML.</w:t>
      </w:r>
    </w:p>
    <w:p w:rsidR="00865530" w:rsidRPr="00865530" w:rsidRDefault="00865530" w:rsidP="0086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0" cy="5000625"/>
            <wp:effectExtent l="0" t="0" r="0" b="9525"/>
            <wp:docPr id="4" name="Picture 4" descr="https://miro.medium.com/max/700/1*WCg0NF18YQvGFwB8zi_qr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iro.medium.com/max/700/1*WCg0NF18YQvGFwB8zi_qrQ.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0" cy="5000625"/>
                    </a:xfrm>
                    <a:prstGeom prst="rect">
                      <a:avLst/>
                    </a:prstGeom>
                    <a:noFill/>
                    <a:ln>
                      <a:noFill/>
                    </a:ln>
                  </pic:spPr>
                </pic:pic>
              </a:graphicData>
            </a:graphic>
          </wp:inline>
        </w:drawing>
      </w:r>
    </w:p>
    <w:p w:rsidR="00865530" w:rsidRPr="00865530" w:rsidRDefault="00865530" w:rsidP="00865530">
      <w:pPr>
        <w:spacing w:after="0"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Figure 2.The Emerging Architecture for Modern Data Infrastructure — </w:t>
      </w:r>
      <w:hyperlink r:id="rId9" w:tgtFrame="_blank" w:history="1">
        <w:r w:rsidRPr="00865530">
          <w:rPr>
            <w:rFonts w:ascii="Times New Roman" w:eastAsia="Times New Roman" w:hAnsi="Times New Roman" w:cs="Times New Roman"/>
            <w:color w:val="0000FF"/>
            <w:sz w:val="24"/>
            <w:szCs w:val="24"/>
            <w:u w:val="single"/>
          </w:rPr>
          <w:t>Source</w:t>
        </w:r>
      </w:hyperlink>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According to </w:t>
      </w:r>
      <w:hyperlink r:id="rId10" w:tgtFrame="_blank" w:history="1">
        <w:r w:rsidRPr="00865530">
          <w:rPr>
            <w:rFonts w:ascii="Times New Roman" w:eastAsia="Times New Roman" w:hAnsi="Times New Roman" w:cs="Times New Roman"/>
            <w:color w:val="0000FF"/>
            <w:sz w:val="24"/>
            <w:szCs w:val="24"/>
            <w:u w:val="single"/>
          </w:rPr>
          <w:t>A16z</w:t>
        </w:r>
      </w:hyperlink>
      <w:r w:rsidRPr="00865530">
        <w:rPr>
          <w:rFonts w:ascii="Times New Roman" w:eastAsia="Times New Roman" w:hAnsi="Times New Roman" w:cs="Times New Roman"/>
          <w:sz w:val="24"/>
          <w:szCs w:val="24"/>
        </w:rPr>
        <w:t>, in an article called “</w:t>
      </w:r>
      <w:hyperlink r:id="rId11" w:tgtFrame="_blank" w:history="1">
        <w:r w:rsidRPr="00865530">
          <w:rPr>
            <w:rFonts w:ascii="Times New Roman" w:eastAsia="Times New Roman" w:hAnsi="Times New Roman" w:cs="Times New Roman"/>
            <w:color w:val="0000FF"/>
            <w:sz w:val="24"/>
            <w:szCs w:val="24"/>
            <w:u w:val="single"/>
          </w:rPr>
          <w:t>The Emerging Architecture for Modern Data Infrastructure</w:t>
        </w:r>
      </w:hyperlink>
      <w:r w:rsidRPr="00865530">
        <w:rPr>
          <w:rFonts w:ascii="Times New Roman" w:eastAsia="Times New Roman" w:hAnsi="Times New Roman" w:cs="Times New Roman"/>
          <w:sz w:val="24"/>
          <w:szCs w:val="24"/>
        </w:rPr>
        <w:t>,” some experts believe data warehouses and data lakes are on a path toward convergence to simplify the technology and vendor landscape for both use cases.</w:t>
      </w:r>
    </w:p>
    <w:p w:rsidR="00865530" w:rsidRPr="00865530" w:rsidRDefault="00865530" w:rsidP="0086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667500" cy="8210550"/>
            <wp:effectExtent l="0" t="0" r="0" b="0"/>
            <wp:docPr id="3" name="Picture 3" descr="https://miro.medium.com/max/700/1*6amQjrn2zLzlj26hL_-3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iro.medium.com/max/700/1*6amQjrn2zLzlj26hL_-3fA.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67500" cy="8210550"/>
                    </a:xfrm>
                    <a:prstGeom prst="rect">
                      <a:avLst/>
                    </a:prstGeom>
                    <a:noFill/>
                    <a:ln>
                      <a:noFill/>
                    </a:ln>
                  </pic:spPr>
                </pic:pic>
              </a:graphicData>
            </a:graphic>
          </wp:inline>
        </w:drawing>
      </w:r>
    </w:p>
    <w:p w:rsidR="00865530" w:rsidRPr="00865530" w:rsidRDefault="00865530" w:rsidP="00865530">
      <w:pPr>
        <w:spacing w:after="0" w:line="240" w:lineRule="auto"/>
        <w:rPr>
          <w:rFonts w:ascii="Times New Roman" w:eastAsia="Times New Roman" w:hAnsi="Times New Roman" w:cs="Times New Roman"/>
          <w:sz w:val="24"/>
          <w:szCs w:val="24"/>
        </w:rPr>
      </w:pPr>
      <w:proofErr w:type="gramStart"/>
      <w:r w:rsidRPr="00865530">
        <w:rPr>
          <w:rFonts w:ascii="Times New Roman" w:eastAsia="Times New Roman" w:hAnsi="Times New Roman" w:cs="Times New Roman"/>
          <w:sz w:val="24"/>
          <w:szCs w:val="24"/>
        </w:rPr>
        <w:lastRenderedPageBreak/>
        <w:t>Figure 3.</w:t>
      </w:r>
      <w:proofErr w:type="gramEnd"/>
      <w:r w:rsidRPr="00865530">
        <w:rPr>
          <w:rFonts w:ascii="Times New Roman" w:eastAsia="Times New Roman" w:hAnsi="Times New Roman" w:cs="Times New Roman"/>
          <w:sz w:val="24"/>
          <w:szCs w:val="24"/>
        </w:rPr>
        <w:t xml:space="preserve"> Data </w:t>
      </w:r>
      <w:proofErr w:type="spellStart"/>
      <w:r w:rsidRPr="00865530">
        <w:rPr>
          <w:rFonts w:ascii="Times New Roman" w:eastAsia="Times New Roman" w:hAnsi="Times New Roman" w:cs="Times New Roman"/>
          <w:sz w:val="24"/>
          <w:szCs w:val="24"/>
        </w:rPr>
        <w:t>Lakehouse</w:t>
      </w:r>
      <w:proofErr w:type="spellEnd"/>
      <w:r w:rsidRPr="00865530">
        <w:rPr>
          <w:rFonts w:ascii="Times New Roman" w:eastAsia="Times New Roman" w:hAnsi="Times New Roman" w:cs="Times New Roman"/>
          <w:sz w:val="24"/>
          <w:szCs w:val="24"/>
        </w:rPr>
        <w:t xml:space="preserve"> Diagram — </w:t>
      </w:r>
      <w:hyperlink r:id="rId13" w:tgtFrame="_blank" w:history="1">
        <w:r w:rsidRPr="00865530">
          <w:rPr>
            <w:rFonts w:ascii="Times New Roman" w:eastAsia="Times New Roman" w:hAnsi="Times New Roman" w:cs="Times New Roman"/>
            <w:color w:val="0000FF"/>
            <w:sz w:val="24"/>
            <w:szCs w:val="24"/>
            <w:u w:val="single"/>
          </w:rPr>
          <w:t>Source</w:t>
        </w:r>
      </w:hyperlink>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Furthermore, with the debut of the </w:t>
      </w:r>
      <w:hyperlink r:id="rId14" w:tgtFrame="_blank" w:history="1">
        <w:proofErr w:type="spellStart"/>
        <w:r w:rsidRPr="00865530">
          <w:rPr>
            <w:rFonts w:ascii="Times New Roman" w:eastAsia="Times New Roman" w:hAnsi="Times New Roman" w:cs="Times New Roman"/>
            <w:color w:val="0000FF"/>
            <w:sz w:val="24"/>
            <w:szCs w:val="24"/>
            <w:u w:val="single"/>
          </w:rPr>
          <w:t>lakehouse</w:t>
        </w:r>
        <w:proofErr w:type="spellEnd"/>
      </w:hyperlink>
      <w:r w:rsidRPr="00865530">
        <w:rPr>
          <w:rFonts w:ascii="Times New Roman" w:eastAsia="Times New Roman" w:hAnsi="Times New Roman" w:cs="Times New Roman"/>
          <w:sz w:val="24"/>
          <w:szCs w:val="24"/>
        </w:rPr>
        <w:t xml:space="preserve"> concept, </w:t>
      </w:r>
      <w:proofErr w:type="spellStart"/>
      <w:r w:rsidRPr="00865530">
        <w:rPr>
          <w:rFonts w:ascii="Times New Roman" w:eastAsia="Times New Roman" w:hAnsi="Times New Roman" w:cs="Times New Roman"/>
          <w:sz w:val="24"/>
          <w:szCs w:val="24"/>
        </w:rPr>
        <w:t>Databricks</w:t>
      </w:r>
      <w:proofErr w:type="spellEnd"/>
      <w:r w:rsidRPr="00865530">
        <w:rPr>
          <w:rFonts w:ascii="Times New Roman" w:eastAsia="Times New Roman" w:hAnsi="Times New Roman" w:cs="Times New Roman"/>
          <w:sz w:val="24"/>
          <w:szCs w:val="24"/>
        </w:rPr>
        <w:t xml:space="preserve"> also believes that the data infrastructure of the future belongs to the one that can support both BI and ML use cases.</w:t>
      </w:r>
    </w:p>
    <w:p w:rsidR="00865530" w:rsidRPr="00865530" w:rsidRDefault="00865530" w:rsidP="008655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530">
        <w:rPr>
          <w:rFonts w:ascii="Times New Roman" w:eastAsia="Times New Roman" w:hAnsi="Times New Roman" w:cs="Times New Roman"/>
          <w:b/>
          <w:bCs/>
          <w:kern w:val="36"/>
          <w:sz w:val="48"/>
          <w:szCs w:val="48"/>
        </w:rPr>
        <w:t>Trend 3: From IT-Centric Data Workflows to Self-Service Analytics</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Diverging from the on-demand manual delivery method that relied on IT in the past, business users will now meet their analysis requirements through data assets provided by a self-served analytics platform. This trend echoes the </w:t>
      </w:r>
      <w:hyperlink r:id="rId15" w:tgtFrame="_blank" w:history="1">
        <w:r w:rsidRPr="00865530">
          <w:rPr>
            <w:rFonts w:ascii="Times New Roman" w:eastAsia="Times New Roman" w:hAnsi="Times New Roman" w:cs="Times New Roman"/>
            <w:color w:val="0000FF"/>
            <w:sz w:val="24"/>
            <w:szCs w:val="24"/>
            <w:u w:val="single"/>
          </w:rPr>
          <w:t>citizen data scientist</w:t>
        </w:r>
      </w:hyperlink>
      <w:r w:rsidRPr="00865530">
        <w:rPr>
          <w:rFonts w:ascii="Times New Roman" w:eastAsia="Times New Roman" w:hAnsi="Times New Roman" w:cs="Times New Roman"/>
          <w:sz w:val="24"/>
          <w:szCs w:val="24"/>
        </w:rPr>
        <w:t xml:space="preserve"> concept raised by Gartner.</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A self-service analytics platform can satisfy 80% of the needs of business users based on the existing datasets. In comparison, the remaining 20% of new requirements can be quickly defined based on the current data assets. Behind the scenes, the datasets are still </w:t>
      </w:r>
      <w:r w:rsidRPr="00865530">
        <w:rPr>
          <w:rFonts w:ascii="Times New Roman" w:eastAsia="Times New Roman" w:hAnsi="Times New Roman" w:cs="Times New Roman"/>
          <w:b/>
          <w:bCs/>
          <w:sz w:val="24"/>
          <w:szCs w:val="24"/>
        </w:rPr>
        <w:t xml:space="preserve">well governed by IT </w:t>
      </w:r>
      <w:r w:rsidRPr="00865530">
        <w:rPr>
          <w:rFonts w:ascii="Times New Roman" w:eastAsia="Times New Roman" w:hAnsi="Times New Roman" w:cs="Times New Roman"/>
          <w:sz w:val="24"/>
          <w:szCs w:val="24"/>
        </w:rPr>
        <w:t>to prevent wrong usage and high cost. Therefore, this new workflow of delivering data is well optimized with the right balance between efficiency and cost.</w:t>
      </w:r>
    </w:p>
    <w:p w:rsidR="00865530" w:rsidRPr="00865530" w:rsidRDefault="00865530" w:rsidP="0086553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667500" cy="3286125"/>
            <wp:effectExtent l="0" t="0" r="0" b="9525"/>
            <wp:docPr id="2" name="Picture 2" descr="https://miro.medium.com/max/700/0*pIMyYakw8Ezcmzg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iro.medium.com/max/700/0*pIMyYakw8Ezcmzg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67500" cy="3286125"/>
                    </a:xfrm>
                    <a:prstGeom prst="rect">
                      <a:avLst/>
                    </a:prstGeom>
                    <a:noFill/>
                    <a:ln>
                      <a:noFill/>
                    </a:ln>
                  </pic:spPr>
                </pic:pic>
              </a:graphicData>
            </a:graphic>
          </wp:inline>
        </w:drawing>
      </w:r>
    </w:p>
    <w:p w:rsidR="00865530" w:rsidRPr="00865530" w:rsidRDefault="00865530" w:rsidP="00865530">
      <w:pPr>
        <w:spacing w:after="0" w:line="240" w:lineRule="auto"/>
        <w:rPr>
          <w:rFonts w:ascii="Times New Roman" w:eastAsia="Times New Roman" w:hAnsi="Times New Roman" w:cs="Times New Roman"/>
          <w:sz w:val="24"/>
          <w:szCs w:val="24"/>
        </w:rPr>
      </w:pPr>
      <w:proofErr w:type="gramStart"/>
      <w:r w:rsidRPr="00865530">
        <w:rPr>
          <w:rFonts w:ascii="Times New Roman" w:eastAsia="Times New Roman" w:hAnsi="Times New Roman" w:cs="Times New Roman"/>
          <w:sz w:val="24"/>
          <w:szCs w:val="24"/>
        </w:rPr>
        <w:t>Figure 4.</w:t>
      </w:r>
      <w:proofErr w:type="gramEnd"/>
      <w:r w:rsidRPr="00865530">
        <w:rPr>
          <w:rFonts w:ascii="Times New Roman" w:eastAsia="Times New Roman" w:hAnsi="Times New Roman" w:cs="Times New Roman"/>
          <w:sz w:val="24"/>
          <w:szCs w:val="24"/>
        </w:rPr>
        <w:t xml:space="preserve"> Data-Driven Workflows</w:t>
      </w:r>
    </w:p>
    <w:p w:rsidR="00865530" w:rsidRPr="00865530" w:rsidRDefault="00865530" w:rsidP="008655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530">
        <w:rPr>
          <w:rFonts w:ascii="Times New Roman" w:eastAsia="Times New Roman" w:hAnsi="Times New Roman" w:cs="Times New Roman"/>
          <w:b/>
          <w:bCs/>
          <w:kern w:val="36"/>
          <w:sz w:val="48"/>
          <w:szCs w:val="48"/>
        </w:rPr>
        <w:t>Trend 4: Manual Analytics &amp; Insight to Augmented Analytics</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lastRenderedPageBreak/>
        <w:t>The traditional approach uses visual-based data discovery to enable business analysts and business users to uncover essential insights. However, when the data is complex, large, and highly dimensional, users must either focus on exploring their hypothesis or manually explore all possible combinations of their data to get an accurate conclusion. This approach is very time-consuming and prone to bias.</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Gartner believes that </w:t>
      </w:r>
      <w:proofErr w:type="gramStart"/>
      <w:r w:rsidRPr="00865530">
        <w:rPr>
          <w:rFonts w:ascii="Times New Roman" w:eastAsia="Times New Roman" w:hAnsi="Times New Roman" w:cs="Times New Roman"/>
          <w:sz w:val="24"/>
          <w:szCs w:val="24"/>
        </w:rPr>
        <w:t>Augmented</w:t>
      </w:r>
      <w:proofErr w:type="gramEnd"/>
      <w:r w:rsidRPr="00865530">
        <w:rPr>
          <w:rFonts w:ascii="Times New Roman" w:eastAsia="Times New Roman" w:hAnsi="Times New Roman" w:cs="Times New Roman"/>
          <w:sz w:val="24"/>
          <w:szCs w:val="24"/>
        </w:rPr>
        <w:t xml:space="preserve"> analytics, a new paradigm of data and analytics, has emerged. Augmented analytics uses machine-learning-based automation to assist human users in uncovering insights and providing direct actions from data. The beauty of </w:t>
      </w:r>
      <w:proofErr w:type="gramStart"/>
      <w:r w:rsidRPr="00865530">
        <w:rPr>
          <w:rFonts w:ascii="Times New Roman" w:eastAsia="Times New Roman" w:hAnsi="Times New Roman" w:cs="Times New Roman"/>
          <w:sz w:val="24"/>
          <w:szCs w:val="24"/>
        </w:rPr>
        <w:t>Augmented</w:t>
      </w:r>
      <w:proofErr w:type="gramEnd"/>
      <w:r w:rsidRPr="00865530">
        <w:rPr>
          <w:rFonts w:ascii="Times New Roman" w:eastAsia="Times New Roman" w:hAnsi="Times New Roman" w:cs="Times New Roman"/>
          <w:sz w:val="24"/>
          <w:szCs w:val="24"/>
        </w:rPr>
        <w:t xml:space="preserve"> analytics is that it applies a range of algorithms to the data in parallel and reduces</w:t>
      </w:r>
      <w:r w:rsidRPr="00865530">
        <w:rPr>
          <w:rFonts w:ascii="Times New Roman" w:eastAsia="Times New Roman" w:hAnsi="Times New Roman" w:cs="Times New Roman"/>
          <w:b/>
          <w:bCs/>
          <w:sz w:val="24"/>
          <w:szCs w:val="24"/>
        </w:rPr>
        <w:t xml:space="preserve"> the risk of missing essential insights in data.</w:t>
      </w:r>
    </w:p>
    <w:p w:rsidR="00865530" w:rsidRPr="00865530" w:rsidRDefault="00865530" w:rsidP="0086553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65530">
        <w:rPr>
          <w:rFonts w:ascii="Times New Roman" w:eastAsia="Times New Roman" w:hAnsi="Times New Roman" w:cs="Times New Roman"/>
          <w:b/>
          <w:bCs/>
          <w:kern w:val="36"/>
          <w:sz w:val="48"/>
          <w:szCs w:val="48"/>
        </w:rPr>
        <w:t>Trend 5: Convergence of Delayed Insights and Real-time Analytics</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In the past, the refresh of the data always comes in batches. However, more timeliness of </w:t>
      </w:r>
      <w:r w:rsidRPr="00865530">
        <w:rPr>
          <w:rFonts w:ascii="Times New Roman" w:eastAsia="Times New Roman" w:hAnsi="Times New Roman" w:cs="Times New Roman"/>
          <w:b/>
          <w:bCs/>
          <w:sz w:val="24"/>
          <w:szCs w:val="24"/>
        </w:rPr>
        <w:t>business decision-making</w:t>
      </w:r>
      <w:r w:rsidRPr="00865530">
        <w:rPr>
          <w:rFonts w:ascii="Times New Roman" w:eastAsia="Times New Roman" w:hAnsi="Times New Roman" w:cs="Times New Roman"/>
          <w:sz w:val="24"/>
          <w:szCs w:val="24"/>
        </w:rPr>
        <w:t xml:space="preserve"> has called for a lower latency of data. The ability to take immediate action at the first indication of an incident is a crucial factor in the success of business operations, especially in use cases such as fraud detection and campaign monitoring.</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Consumers are also demanding a more </w:t>
      </w:r>
      <w:r w:rsidRPr="00865530">
        <w:rPr>
          <w:rFonts w:ascii="Times New Roman" w:eastAsia="Times New Roman" w:hAnsi="Times New Roman" w:cs="Times New Roman"/>
          <w:b/>
          <w:bCs/>
          <w:sz w:val="24"/>
          <w:szCs w:val="24"/>
        </w:rPr>
        <w:t>engaging and seamless user experience</w:t>
      </w:r>
      <w:r w:rsidRPr="00865530">
        <w:rPr>
          <w:rFonts w:ascii="Times New Roman" w:eastAsia="Times New Roman" w:hAnsi="Times New Roman" w:cs="Times New Roman"/>
          <w:sz w:val="24"/>
          <w:szCs w:val="24"/>
        </w:rPr>
        <w:t xml:space="preserve"> that requires applications and businesses to provide response and feedback at the speed of thought. When it comes to business decision-making, there is no way to identify problems and anomalies within the current situation without knowledge of what has happened in the past. This need has driven the trend of convergence of batch data and real-time data.</w:t>
      </w:r>
    </w:p>
    <w:p w:rsidR="00865530" w:rsidRPr="00865530" w:rsidRDefault="00865530" w:rsidP="00865530">
      <w:pPr>
        <w:spacing w:before="100" w:beforeAutospacing="1" w:after="100" w:afterAutospacing="1" w:line="240" w:lineRule="auto"/>
        <w:rPr>
          <w:rFonts w:ascii="Times New Roman" w:eastAsia="Times New Roman" w:hAnsi="Times New Roman" w:cs="Times New Roman"/>
          <w:sz w:val="24"/>
          <w:szCs w:val="24"/>
        </w:rPr>
      </w:pPr>
      <w:r w:rsidRPr="00865530">
        <w:rPr>
          <w:rFonts w:ascii="Times New Roman" w:eastAsia="Times New Roman" w:hAnsi="Times New Roman" w:cs="Times New Roman"/>
          <w:sz w:val="24"/>
          <w:szCs w:val="24"/>
        </w:rPr>
        <w:t xml:space="preserve">In summary, the end goal of this overall trend is the democratization of data analytics to empower all levels of a business to get faster, </w:t>
      </w:r>
      <w:proofErr w:type="gramStart"/>
      <w:r w:rsidRPr="00865530">
        <w:rPr>
          <w:rFonts w:ascii="Times New Roman" w:eastAsia="Times New Roman" w:hAnsi="Times New Roman" w:cs="Times New Roman"/>
          <w:sz w:val="24"/>
          <w:szCs w:val="24"/>
        </w:rPr>
        <w:t>more timely</w:t>
      </w:r>
      <w:proofErr w:type="gramEnd"/>
      <w:r w:rsidRPr="00865530">
        <w:rPr>
          <w:rFonts w:ascii="Times New Roman" w:eastAsia="Times New Roman" w:hAnsi="Times New Roman" w:cs="Times New Roman"/>
          <w:sz w:val="24"/>
          <w:szCs w:val="24"/>
        </w:rPr>
        <w:t xml:space="preserve"> and better-informed insights.</w:t>
      </w:r>
    </w:p>
    <w:p w:rsidR="00AD6739" w:rsidRPr="00865530" w:rsidRDefault="00865530" w:rsidP="00865530"/>
    <w:sectPr w:rsidR="00AD6739" w:rsidRPr="00865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F4485"/>
    <w:multiLevelType w:val="multilevel"/>
    <w:tmpl w:val="E66C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72"/>
    <w:rsid w:val="00385672"/>
    <w:rsid w:val="00865530"/>
    <w:rsid w:val="008B13A9"/>
    <w:rsid w:val="00CC39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5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block-unstyled">
    <w:name w:val="md-block-unstyled"/>
    <w:basedOn w:val="Normal"/>
    <w:rsid w:val="00385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672"/>
    <w:rPr>
      <w:b/>
      <w:bCs/>
    </w:rPr>
  </w:style>
  <w:style w:type="paragraph" w:styleId="BalloonText">
    <w:name w:val="Balloon Text"/>
    <w:basedOn w:val="Normal"/>
    <w:link w:val="BalloonTextChar"/>
    <w:uiPriority w:val="99"/>
    <w:semiHidden/>
    <w:unhideWhenUsed/>
    <w:rsid w:val="0038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72"/>
    <w:rPr>
      <w:rFonts w:ascii="Tahoma" w:hAnsi="Tahoma" w:cs="Tahoma"/>
      <w:sz w:val="16"/>
      <w:szCs w:val="16"/>
    </w:rPr>
  </w:style>
  <w:style w:type="character" w:customStyle="1" w:styleId="Heading1Char">
    <w:name w:val="Heading 1 Char"/>
    <w:basedOn w:val="DefaultParagraphFont"/>
    <w:link w:val="Heading1"/>
    <w:uiPriority w:val="9"/>
    <w:rsid w:val="00865530"/>
    <w:rPr>
      <w:rFonts w:ascii="Times New Roman" w:eastAsia="Times New Roman" w:hAnsi="Times New Roman" w:cs="Times New Roman"/>
      <w:b/>
      <w:bCs/>
      <w:kern w:val="36"/>
      <w:sz w:val="48"/>
      <w:szCs w:val="48"/>
    </w:rPr>
  </w:style>
  <w:style w:type="paragraph" w:customStyle="1" w:styleId="pw-post-body-paragraph">
    <w:name w:val="pw-post-body-paragraph"/>
    <w:basedOn w:val="Normal"/>
    <w:rsid w:val="008655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5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655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block-unstyled">
    <w:name w:val="md-block-unstyled"/>
    <w:basedOn w:val="Normal"/>
    <w:rsid w:val="00385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5672"/>
    <w:rPr>
      <w:b/>
      <w:bCs/>
    </w:rPr>
  </w:style>
  <w:style w:type="paragraph" w:styleId="BalloonText">
    <w:name w:val="Balloon Text"/>
    <w:basedOn w:val="Normal"/>
    <w:link w:val="BalloonTextChar"/>
    <w:uiPriority w:val="99"/>
    <w:semiHidden/>
    <w:unhideWhenUsed/>
    <w:rsid w:val="00385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672"/>
    <w:rPr>
      <w:rFonts w:ascii="Tahoma" w:hAnsi="Tahoma" w:cs="Tahoma"/>
      <w:sz w:val="16"/>
      <w:szCs w:val="16"/>
    </w:rPr>
  </w:style>
  <w:style w:type="character" w:customStyle="1" w:styleId="Heading1Char">
    <w:name w:val="Heading 1 Char"/>
    <w:basedOn w:val="DefaultParagraphFont"/>
    <w:link w:val="Heading1"/>
    <w:uiPriority w:val="9"/>
    <w:rsid w:val="00865530"/>
    <w:rPr>
      <w:rFonts w:ascii="Times New Roman" w:eastAsia="Times New Roman" w:hAnsi="Times New Roman" w:cs="Times New Roman"/>
      <w:b/>
      <w:bCs/>
      <w:kern w:val="36"/>
      <w:sz w:val="48"/>
      <w:szCs w:val="48"/>
    </w:rPr>
  </w:style>
  <w:style w:type="paragraph" w:customStyle="1" w:styleId="pw-post-body-paragraph">
    <w:name w:val="pw-post-body-paragraph"/>
    <w:basedOn w:val="Normal"/>
    <w:rsid w:val="008655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5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1542">
      <w:bodyDiv w:val="1"/>
      <w:marLeft w:val="0"/>
      <w:marRight w:val="0"/>
      <w:marTop w:val="0"/>
      <w:marBottom w:val="0"/>
      <w:divBdr>
        <w:top w:val="none" w:sz="0" w:space="0" w:color="auto"/>
        <w:left w:val="none" w:sz="0" w:space="0" w:color="auto"/>
        <w:bottom w:val="none" w:sz="0" w:space="0" w:color="auto"/>
        <w:right w:val="none" w:sz="0" w:space="0" w:color="auto"/>
      </w:divBdr>
    </w:div>
    <w:div w:id="1617639515">
      <w:bodyDiv w:val="1"/>
      <w:marLeft w:val="0"/>
      <w:marRight w:val="0"/>
      <w:marTop w:val="0"/>
      <w:marBottom w:val="0"/>
      <w:divBdr>
        <w:top w:val="none" w:sz="0" w:space="0" w:color="auto"/>
        <w:left w:val="none" w:sz="0" w:space="0" w:color="auto"/>
        <w:bottom w:val="none" w:sz="0" w:space="0" w:color="auto"/>
        <w:right w:val="none" w:sz="0" w:space="0" w:color="auto"/>
      </w:divBdr>
      <w:divsChild>
        <w:div w:id="104274741">
          <w:marLeft w:val="0"/>
          <w:marRight w:val="0"/>
          <w:marTop w:val="0"/>
          <w:marBottom w:val="0"/>
          <w:divBdr>
            <w:top w:val="none" w:sz="0" w:space="0" w:color="auto"/>
            <w:left w:val="none" w:sz="0" w:space="0" w:color="auto"/>
            <w:bottom w:val="none" w:sz="0" w:space="0" w:color="auto"/>
            <w:right w:val="none" w:sz="0" w:space="0" w:color="auto"/>
          </w:divBdr>
          <w:divsChild>
            <w:div w:id="54545843">
              <w:marLeft w:val="0"/>
              <w:marRight w:val="0"/>
              <w:marTop w:val="0"/>
              <w:marBottom w:val="0"/>
              <w:divBdr>
                <w:top w:val="none" w:sz="0" w:space="0" w:color="auto"/>
                <w:left w:val="none" w:sz="0" w:space="0" w:color="auto"/>
                <w:bottom w:val="none" w:sz="0" w:space="0" w:color="auto"/>
                <w:right w:val="none" w:sz="0" w:space="0" w:color="auto"/>
              </w:divBdr>
            </w:div>
            <w:div w:id="77333231">
              <w:marLeft w:val="0"/>
              <w:marRight w:val="0"/>
              <w:marTop w:val="0"/>
              <w:marBottom w:val="0"/>
              <w:divBdr>
                <w:top w:val="none" w:sz="0" w:space="0" w:color="auto"/>
                <w:left w:val="none" w:sz="0" w:space="0" w:color="auto"/>
                <w:bottom w:val="none" w:sz="0" w:space="0" w:color="auto"/>
                <w:right w:val="none" w:sz="0" w:space="0" w:color="auto"/>
              </w:divBdr>
              <w:divsChild>
                <w:div w:id="1950966107">
                  <w:marLeft w:val="0"/>
                  <w:marRight w:val="0"/>
                  <w:marTop w:val="0"/>
                  <w:marBottom w:val="0"/>
                  <w:divBdr>
                    <w:top w:val="none" w:sz="0" w:space="0" w:color="auto"/>
                    <w:left w:val="none" w:sz="0" w:space="0" w:color="auto"/>
                    <w:bottom w:val="none" w:sz="0" w:space="0" w:color="auto"/>
                    <w:right w:val="none" w:sz="0" w:space="0" w:color="auto"/>
                  </w:divBdr>
                </w:div>
              </w:divsChild>
            </w:div>
            <w:div w:id="311520292">
              <w:marLeft w:val="0"/>
              <w:marRight w:val="0"/>
              <w:marTop w:val="0"/>
              <w:marBottom w:val="0"/>
              <w:divBdr>
                <w:top w:val="none" w:sz="0" w:space="0" w:color="auto"/>
                <w:left w:val="none" w:sz="0" w:space="0" w:color="auto"/>
                <w:bottom w:val="none" w:sz="0" w:space="0" w:color="auto"/>
                <w:right w:val="none" w:sz="0" w:space="0" w:color="auto"/>
              </w:divBdr>
              <w:divsChild>
                <w:div w:id="74280978">
                  <w:marLeft w:val="0"/>
                  <w:marRight w:val="0"/>
                  <w:marTop w:val="0"/>
                  <w:marBottom w:val="0"/>
                  <w:divBdr>
                    <w:top w:val="none" w:sz="0" w:space="0" w:color="auto"/>
                    <w:left w:val="none" w:sz="0" w:space="0" w:color="auto"/>
                    <w:bottom w:val="none" w:sz="0" w:space="0" w:color="auto"/>
                    <w:right w:val="none" w:sz="0" w:space="0" w:color="auto"/>
                  </w:divBdr>
                </w:div>
              </w:divsChild>
            </w:div>
            <w:div w:id="946423171">
              <w:marLeft w:val="0"/>
              <w:marRight w:val="0"/>
              <w:marTop w:val="0"/>
              <w:marBottom w:val="0"/>
              <w:divBdr>
                <w:top w:val="none" w:sz="0" w:space="0" w:color="auto"/>
                <w:left w:val="none" w:sz="0" w:space="0" w:color="auto"/>
                <w:bottom w:val="none" w:sz="0" w:space="0" w:color="auto"/>
                <w:right w:val="none" w:sz="0" w:space="0" w:color="auto"/>
              </w:divBdr>
              <w:divsChild>
                <w:div w:id="1153915722">
                  <w:marLeft w:val="0"/>
                  <w:marRight w:val="0"/>
                  <w:marTop w:val="0"/>
                  <w:marBottom w:val="0"/>
                  <w:divBdr>
                    <w:top w:val="none" w:sz="0" w:space="0" w:color="auto"/>
                    <w:left w:val="none" w:sz="0" w:space="0" w:color="auto"/>
                    <w:bottom w:val="none" w:sz="0" w:space="0" w:color="auto"/>
                    <w:right w:val="none" w:sz="0" w:space="0" w:color="auto"/>
                  </w:divBdr>
                </w:div>
              </w:divsChild>
            </w:div>
            <w:div w:id="775295948">
              <w:marLeft w:val="0"/>
              <w:marRight w:val="0"/>
              <w:marTop w:val="0"/>
              <w:marBottom w:val="0"/>
              <w:divBdr>
                <w:top w:val="none" w:sz="0" w:space="0" w:color="auto"/>
                <w:left w:val="none" w:sz="0" w:space="0" w:color="auto"/>
                <w:bottom w:val="none" w:sz="0" w:space="0" w:color="auto"/>
                <w:right w:val="none" w:sz="0" w:space="0" w:color="auto"/>
              </w:divBdr>
              <w:divsChild>
                <w:div w:id="15314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tabricks.com/blog/2021/05/19/evolution-to-the-data-lakehouse.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s://www.srgresearch.com/articles/2020-the-year-that-cloud-service-revenues-finally-dwarfed-enterprise-spending-on-data-centers" TargetMode="External"/><Relationship Id="rId11" Type="http://schemas.openxmlformats.org/officeDocument/2006/relationships/hyperlink" Target="https://future.a16z.com/emerging-architectures-modern-data-infrastructure/" TargetMode="External"/><Relationship Id="rId5" Type="http://schemas.openxmlformats.org/officeDocument/2006/relationships/webSettings" Target="webSettings.xml"/><Relationship Id="rId15" Type="http://schemas.openxmlformats.org/officeDocument/2006/relationships/hyperlink" Target="https://blogs.gartner.com/carlie-idoine/2018/05/13/citizen-data-scientists-and-why-they-matter/" TargetMode="External"/><Relationship Id="rId10" Type="http://schemas.openxmlformats.org/officeDocument/2006/relationships/hyperlink" Target="https://a16z.com/" TargetMode="External"/><Relationship Id="rId4" Type="http://schemas.openxmlformats.org/officeDocument/2006/relationships/settings" Target="settings.xml"/><Relationship Id="rId9" Type="http://schemas.openxmlformats.org/officeDocument/2006/relationships/hyperlink" Target="https://a16z.com/2020/10/15/the-emerging-architectures-for-modern-data-infrastructure/" TargetMode="External"/><Relationship Id="rId14" Type="http://schemas.openxmlformats.org/officeDocument/2006/relationships/hyperlink" Target="https://databricks.com/blog/2020/01/30/what-is-a-data-lakehou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909</Words>
  <Characters>5186</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2022-10-23T13:48:00Z</dcterms:created>
  <dcterms:modified xsi:type="dcterms:W3CDTF">2022-10-23T13:48:00Z</dcterms:modified>
</cp:coreProperties>
</file>